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C" w:rsidRDefault="00C176F2" w:rsidP="00C176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3859480</wp:posOffset>
                </wp:positionH>
                <wp:positionV relativeFrom="paragraph">
                  <wp:posOffset>0</wp:posOffset>
                </wp:positionV>
                <wp:extent cx="2161309" cy="3015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301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F2" w:rsidRDefault="00C176F2" w:rsidP="00C176F2">
                            <w:pPr>
                              <w:jc w:val="both"/>
                            </w:pPr>
                            <w:r w:rsidRPr="00C176F2">
                              <w:t xml:space="preserve">In 2015, there were 143,000 reported workplace hand injuries.  The fact is that employers are providing hand protection for their employees.  However, a quick look at OSHA’s hand injury stats reveals that workers were not wearing hand protection when injured.  Actually over 70% of </w:t>
                            </w:r>
                            <w:proofErr w:type="gramStart"/>
                            <w:r w:rsidRPr="00C176F2">
                              <w:t>hand</w:t>
                            </w:r>
                            <w:proofErr w:type="gramEnd"/>
                            <w:r w:rsidRPr="00C176F2">
                              <w:t xml:space="preserve"> injuries in the United States occur to people are not wearing gloves.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pt;margin-top:0;width:170.2pt;height:2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" stroked="f">
                <v:textbox>
                  <w:txbxContent>
                    <w:p w:rsidR="00C176F2" w:rsidRDefault="00C176F2" w:rsidP="00C176F2">
                      <w:pPr>
                        <w:jc w:val="both"/>
                      </w:pPr>
                      <w:r w:rsidRPr="00C176F2">
                        <w:t xml:space="preserve">In 2015, there were 143,000 reported workplace hand injuries.  The fact is that employers are providing hand protection for their employees.  However, a quick look at OSHA’s hand injury stats reveals that workers were not wearing hand protection when injured.  Actually over 70% of </w:t>
                      </w:r>
                      <w:proofErr w:type="gramStart"/>
                      <w:r w:rsidRPr="00C176F2">
                        <w:t>hand</w:t>
                      </w:r>
                      <w:proofErr w:type="gramEnd"/>
                      <w:r w:rsidRPr="00C176F2">
                        <w:t xml:space="preserve"> injuries in the United States occur to people are not wearing gloves.</w:t>
                      </w:r>
                    </w:p>
                  </w:txbxContent>
                </v:textbox>
              </v:shape>
            </w:pict>
          </mc:Fallback>
        </mc:AlternateContent>
      </w:r>
      <w:r w:rsidRPr="00C176F2">
        <w:drawing>
          <wp:inline distT="0" distB="0" distL="0" distR="0" wp14:anchorId="7E08DE34" wp14:editId="354162EF">
            <wp:extent cx="3753878" cy="2933205"/>
            <wp:effectExtent l="0" t="0" r="0" b="63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55" cy="29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6F2" w:rsidRPr="00C176F2" w:rsidRDefault="00C176F2" w:rsidP="00C176F2">
      <w:pPr>
        <w:spacing w:before="240" w:after="240"/>
        <w:jc w:val="both"/>
      </w:pPr>
      <w:r w:rsidRPr="00C176F2">
        <w:t>Another interesting fact is that although overall injuries go down on the weekends, laceration injuries account for a higher proportion of weekend injuries. We can speculate that workers are less likely to wear safety gloves on the weekend, but this is really just speculation.</w:t>
      </w:r>
    </w:p>
    <w:p w:rsidR="00C176F2" w:rsidRPr="00C176F2" w:rsidRDefault="00C176F2" w:rsidP="00C176F2">
      <w:pPr>
        <w:spacing w:before="240" w:after="240"/>
        <w:jc w:val="both"/>
      </w:pPr>
      <w:r>
        <w:t>H</w:t>
      </w:r>
      <w:r w:rsidRPr="00C176F2">
        <w:t xml:space="preserve">and injury statistics reveal how costly and painful on-the-job injuries can be. These injuries do not just hurt workers; companies suffer costs due to injuries, compounded by the loss of productivity. The question becomes </w:t>
      </w:r>
      <w:r>
        <w:t>“W</w:t>
      </w:r>
      <w:r w:rsidRPr="00C176F2">
        <w:t>hat is the true cost of an injury?</w:t>
      </w:r>
      <w:r>
        <w:t xml:space="preserve">”  </w:t>
      </w:r>
      <w:r w:rsidRPr="00C176F2">
        <w:t xml:space="preserve"> Whether you are searching for safety information to present to your company, or if you are looking to learn more about hand injury statistics, check out </w:t>
      </w:r>
      <w:r>
        <w:t xml:space="preserve">the </w:t>
      </w:r>
      <w:r w:rsidRPr="00C176F2">
        <w:t xml:space="preserve">surprising safety </w:t>
      </w:r>
      <w:r>
        <w:t>impacts</w:t>
      </w:r>
      <w:r w:rsidRPr="00C176F2">
        <w:t xml:space="preserve"> that reveal the true cost of an injury. Clearly, the associated costs </w:t>
      </w:r>
      <w:proofErr w:type="gramStart"/>
      <w:r w:rsidRPr="00C176F2">
        <w:t>are tied</w:t>
      </w:r>
      <w:proofErr w:type="gramEnd"/>
      <w:r w:rsidRPr="00C176F2">
        <w:t xml:space="preserve"> to injury type. Next, let us break down incidents by injury type using data from The Bureau </w:t>
      </w:r>
      <w:proofErr w:type="gramStart"/>
      <w:r w:rsidRPr="00C176F2">
        <w:t>Of</w:t>
      </w:r>
      <w:proofErr w:type="gramEnd"/>
      <w:r w:rsidRPr="00C176F2">
        <w:t xml:space="preserve"> Labor Statistics.  </w:t>
      </w:r>
    </w:p>
    <w:p w:rsidR="00000000" w:rsidRPr="00C176F2" w:rsidRDefault="0034705D" w:rsidP="00C176F2">
      <w:pPr>
        <w:numPr>
          <w:ilvl w:val="0"/>
          <w:numId w:val="1"/>
        </w:numPr>
        <w:jc w:val="both"/>
      </w:pPr>
      <w:r w:rsidRPr="00C176F2">
        <w:t>There were 186,830 nonfatal occupational injuries to hands and wrists that involved days away from work</w:t>
      </w:r>
    </w:p>
    <w:p w:rsidR="00000000" w:rsidRPr="00C176F2" w:rsidRDefault="0034705D" w:rsidP="00C176F2">
      <w:pPr>
        <w:numPr>
          <w:ilvl w:val="0"/>
          <w:numId w:val="1"/>
        </w:numPr>
        <w:jc w:val="both"/>
      </w:pPr>
      <w:r w:rsidRPr="00C176F2">
        <w:t>Wrist injuries led to 15 median days away from work and hand injuries led to 5 median days away from work</w:t>
      </w:r>
    </w:p>
    <w:p w:rsidR="00C176F2" w:rsidRPr="00C176F2" w:rsidRDefault="00C176F2" w:rsidP="00C176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49B1" wp14:editId="57E3F566">
                <wp:simplePos x="0" y="0"/>
                <wp:positionH relativeFrom="column">
                  <wp:posOffset>4136662</wp:posOffset>
                </wp:positionH>
                <wp:positionV relativeFrom="paragraph">
                  <wp:posOffset>287020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F2" w:rsidRDefault="003E1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9428" cy="1959428"/>
                                  <wp:effectExtent l="0" t="0" r="3175" b="3175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51" cy="1967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7pt;margin-top:22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CElg474QAAAAsBAAAPAAAAAAAAAAAAAAAAAHwEAABkcnMvZG93&#10;bnJldi54bWxQSwUGAAAAAAQABADzAAAAigUAAAAA&#10;" stroked="f">
                <v:textbox style="mso-fit-shape-to-text:t">
                  <w:txbxContent>
                    <w:p w:rsidR="00C176F2" w:rsidRDefault="003E17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9428" cy="1959428"/>
                            <wp:effectExtent l="0" t="0" r="3175" b="3175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51" cy="1967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76F2">
        <w:t>Number of injuries to hands and wrists by nature of injury are broken down as follows:</w:t>
      </w:r>
    </w:p>
    <w:p w:rsidR="00000000" w:rsidRPr="00C176F2" w:rsidRDefault="0034705D" w:rsidP="00C176F2">
      <w:pPr>
        <w:numPr>
          <w:ilvl w:val="0"/>
          <w:numId w:val="2"/>
        </w:numPr>
        <w:jc w:val="both"/>
      </w:pPr>
      <w:r w:rsidRPr="00C176F2">
        <w:t>30,400 sprains, strains, and tears</w:t>
      </w:r>
    </w:p>
    <w:p w:rsidR="00000000" w:rsidRPr="00C176F2" w:rsidRDefault="0034705D" w:rsidP="00C176F2">
      <w:pPr>
        <w:numPr>
          <w:ilvl w:val="0"/>
          <w:numId w:val="2"/>
        </w:numPr>
        <w:jc w:val="both"/>
      </w:pPr>
      <w:r w:rsidRPr="00C176F2">
        <w:t>17,000 fractures</w:t>
      </w:r>
    </w:p>
    <w:p w:rsidR="00000000" w:rsidRPr="00C176F2" w:rsidRDefault="0034705D" w:rsidP="00C176F2">
      <w:pPr>
        <w:numPr>
          <w:ilvl w:val="0"/>
          <w:numId w:val="2"/>
        </w:numPr>
      </w:pPr>
      <w:r w:rsidRPr="00C176F2">
        <w:t>12,300 pain and soreness</w:t>
      </w:r>
    </w:p>
    <w:p w:rsidR="00C176F2" w:rsidRDefault="0034705D" w:rsidP="00C176F2">
      <w:pPr>
        <w:numPr>
          <w:ilvl w:val="0"/>
          <w:numId w:val="2"/>
        </w:numPr>
      </w:pPr>
      <w:r w:rsidRPr="00C176F2">
        <w:t>6,790 bruises and contusions</w:t>
      </w:r>
    </w:p>
    <w:sectPr w:rsidR="00C1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2EFA"/>
    <w:multiLevelType w:val="hybridMultilevel"/>
    <w:tmpl w:val="ECBCAEA0"/>
    <w:lvl w:ilvl="0" w:tplc="BA50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E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8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8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823CCF"/>
    <w:multiLevelType w:val="hybridMultilevel"/>
    <w:tmpl w:val="1C80C748"/>
    <w:lvl w:ilvl="0" w:tplc="9D4E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46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04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2"/>
    <w:rsid w:val="000111E6"/>
    <w:rsid w:val="00203D6E"/>
    <w:rsid w:val="0034705D"/>
    <w:rsid w:val="003827DC"/>
    <w:rsid w:val="003A1598"/>
    <w:rsid w:val="003E177B"/>
    <w:rsid w:val="005A6C81"/>
    <w:rsid w:val="005F104A"/>
    <w:rsid w:val="005F44F3"/>
    <w:rsid w:val="0067617B"/>
    <w:rsid w:val="007F5539"/>
    <w:rsid w:val="00933603"/>
    <w:rsid w:val="009459C8"/>
    <w:rsid w:val="00A541A5"/>
    <w:rsid w:val="00AD66C0"/>
    <w:rsid w:val="00AF12A8"/>
    <w:rsid w:val="00C13C51"/>
    <w:rsid w:val="00C176F2"/>
    <w:rsid w:val="00DA3C83"/>
    <w:rsid w:val="00DE342B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05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0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67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James</dc:creator>
  <cp:lastModifiedBy>McGowan, James</cp:lastModifiedBy>
  <cp:revision>1</cp:revision>
  <cp:lastPrinted>2019-01-29T14:05:00Z</cp:lastPrinted>
  <dcterms:created xsi:type="dcterms:W3CDTF">2019-01-29T13:40:00Z</dcterms:created>
  <dcterms:modified xsi:type="dcterms:W3CDTF">2019-01-29T14:06:00Z</dcterms:modified>
</cp:coreProperties>
</file>